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DFB" w:rsidRDefault="00133DFB" w:rsidP="0024661F">
      <w:pPr>
        <w:jc w:val="center"/>
        <w:rPr>
          <w:rFonts w:asciiTheme="majorHAnsi" w:hAnsiTheme="majorHAnsi"/>
          <w:b/>
        </w:rPr>
      </w:pPr>
      <w:proofErr w:type="spellStart"/>
      <w:r w:rsidRPr="00133DFB">
        <w:rPr>
          <w:rFonts w:asciiTheme="majorHAnsi" w:hAnsiTheme="majorHAnsi"/>
          <w:b/>
        </w:rPr>
        <w:t>Arihant's</w:t>
      </w:r>
      <w:proofErr w:type="spellEnd"/>
      <w:r w:rsidRPr="00133DFB">
        <w:rPr>
          <w:rFonts w:asciiTheme="majorHAnsi" w:hAnsiTheme="majorHAnsi"/>
          <w:b/>
        </w:rPr>
        <w:t xml:space="preserve"> Securities Limited</w:t>
      </w:r>
    </w:p>
    <w:p w:rsidR="00621D4C" w:rsidRPr="00374E09" w:rsidRDefault="00621D4C" w:rsidP="0024661F">
      <w:pPr>
        <w:jc w:val="center"/>
        <w:rPr>
          <w:rFonts w:asciiTheme="majorHAnsi" w:hAnsiTheme="majorHAnsi"/>
          <w:b/>
        </w:rPr>
      </w:pPr>
      <w:r w:rsidRPr="00374E09">
        <w:rPr>
          <w:rFonts w:asciiTheme="majorHAnsi" w:hAnsiTheme="majorHAnsi"/>
          <w:b/>
        </w:rPr>
        <w:t>Policy on Material Subsidiaries</w:t>
      </w:r>
    </w:p>
    <w:p w:rsidR="0024661F" w:rsidRPr="00374E09" w:rsidRDefault="0024661F" w:rsidP="0024661F">
      <w:pPr>
        <w:jc w:val="center"/>
        <w:rPr>
          <w:rFonts w:asciiTheme="majorHAnsi" w:hAnsiTheme="majorHAnsi"/>
          <w:b/>
        </w:rPr>
      </w:pPr>
    </w:p>
    <w:p w:rsidR="00621D4C" w:rsidRPr="00374E09" w:rsidRDefault="00621D4C" w:rsidP="00621D4C">
      <w:pPr>
        <w:pStyle w:val="ListParagraph"/>
        <w:numPr>
          <w:ilvl w:val="0"/>
          <w:numId w:val="2"/>
        </w:numPr>
        <w:rPr>
          <w:rFonts w:asciiTheme="majorHAnsi" w:hAnsiTheme="majorHAnsi"/>
          <w:b/>
        </w:rPr>
      </w:pPr>
      <w:r w:rsidRPr="00374E09">
        <w:rPr>
          <w:rFonts w:asciiTheme="majorHAnsi" w:hAnsiTheme="majorHAnsi"/>
          <w:b/>
        </w:rPr>
        <w:t xml:space="preserve">Introduction </w:t>
      </w:r>
    </w:p>
    <w:p w:rsidR="00621D4C" w:rsidRPr="00374E09" w:rsidRDefault="00621D4C" w:rsidP="0024661F">
      <w:pPr>
        <w:pStyle w:val="ListParagraph"/>
        <w:rPr>
          <w:rFonts w:asciiTheme="majorHAnsi" w:hAnsiTheme="majorHAnsi"/>
        </w:rPr>
      </w:pPr>
    </w:p>
    <w:p w:rsidR="00621D4C" w:rsidRPr="00374E09" w:rsidRDefault="00621D4C" w:rsidP="00621D4C">
      <w:pPr>
        <w:pStyle w:val="ListParagraph"/>
        <w:ind w:left="1080"/>
        <w:jc w:val="both"/>
        <w:rPr>
          <w:rFonts w:asciiTheme="majorHAnsi" w:hAnsiTheme="majorHAnsi"/>
        </w:rPr>
      </w:pPr>
      <w:r w:rsidRPr="00374E09">
        <w:rPr>
          <w:rFonts w:asciiTheme="majorHAnsi" w:hAnsiTheme="majorHAnsi"/>
        </w:rPr>
        <w:t xml:space="preserve">The Board of Directors (the “Board”) of </w:t>
      </w:r>
      <w:proofErr w:type="spellStart"/>
      <w:r w:rsidR="00133DFB" w:rsidRPr="00133DFB">
        <w:rPr>
          <w:rFonts w:asciiTheme="majorHAnsi" w:hAnsiTheme="majorHAnsi"/>
        </w:rPr>
        <w:t>Arihant's</w:t>
      </w:r>
      <w:proofErr w:type="spellEnd"/>
      <w:r w:rsidR="00133DFB" w:rsidRPr="00133DFB">
        <w:rPr>
          <w:rFonts w:asciiTheme="majorHAnsi" w:hAnsiTheme="majorHAnsi"/>
        </w:rPr>
        <w:t xml:space="preserve"> Securities Limited </w:t>
      </w:r>
      <w:r w:rsidRPr="00374E09">
        <w:rPr>
          <w:rFonts w:asciiTheme="majorHAnsi" w:hAnsiTheme="majorHAnsi"/>
        </w:rPr>
        <w:t xml:space="preserve">(the “Company”) </w:t>
      </w:r>
      <w:proofErr w:type="gramStart"/>
      <w:r w:rsidRPr="00374E09">
        <w:rPr>
          <w:rFonts w:asciiTheme="majorHAnsi" w:hAnsiTheme="majorHAnsi"/>
        </w:rPr>
        <w:t>have</w:t>
      </w:r>
      <w:proofErr w:type="gramEnd"/>
      <w:r w:rsidRPr="00374E09">
        <w:rPr>
          <w:rFonts w:asciiTheme="majorHAnsi" w:hAnsiTheme="majorHAnsi"/>
        </w:rPr>
        <w:t xml:space="preserve"> adopted the following policy and procedures with regard to determination of Material Subsidiaries. </w:t>
      </w:r>
    </w:p>
    <w:p w:rsidR="00621D4C" w:rsidRPr="00374E09" w:rsidRDefault="00621D4C" w:rsidP="00621D4C">
      <w:pPr>
        <w:pStyle w:val="ListParagraph"/>
        <w:ind w:left="1080"/>
        <w:rPr>
          <w:rFonts w:asciiTheme="majorHAnsi" w:hAnsiTheme="majorHAnsi"/>
        </w:rPr>
      </w:pPr>
    </w:p>
    <w:p w:rsidR="00621D4C" w:rsidRPr="00374E09" w:rsidRDefault="00621D4C" w:rsidP="00621D4C">
      <w:pPr>
        <w:pStyle w:val="ListParagraph"/>
        <w:numPr>
          <w:ilvl w:val="0"/>
          <w:numId w:val="2"/>
        </w:numPr>
        <w:rPr>
          <w:rFonts w:asciiTheme="majorHAnsi" w:hAnsiTheme="majorHAnsi"/>
          <w:b/>
        </w:rPr>
      </w:pPr>
      <w:r w:rsidRPr="00374E09">
        <w:rPr>
          <w:rFonts w:asciiTheme="majorHAnsi" w:hAnsiTheme="majorHAnsi"/>
          <w:b/>
        </w:rPr>
        <w:t xml:space="preserve"> Policy Objective </w:t>
      </w:r>
    </w:p>
    <w:p w:rsidR="00621D4C" w:rsidRPr="00374E09" w:rsidRDefault="00621D4C" w:rsidP="00621D4C">
      <w:pPr>
        <w:pStyle w:val="ListParagraph"/>
        <w:ind w:left="1080"/>
        <w:rPr>
          <w:rFonts w:asciiTheme="majorHAnsi" w:hAnsiTheme="majorHAnsi"/>
        </w:rPr>
      </w:pPr>
    </w:p>
    <w:p w:rsidR="00621D4C" w:rsidRPr="00374E09" w:rsidRDefault="00621D4C" w:rsidP="00621D4C">
      <w:pPr>
        <w:pStyle w:val="ListParagraph"/>
        <w:ind w:left="1080"/>
        <w:jc w:val="both"/>
        <w:rPr>
          <w:rFonts w:asciiTheme="majorHAnsi" w:hAnsiTheme="majorHAnsi"/>
        </w:rPr>
      </w:pPr>
      <w:r w:rsidRPr="00374E09">
        <w:rPr>
          <w:rFonts w:asciiTheme="majorHAnsi" w:hAnsiTheme="majorHAnsi"/>
        </w:rPr>
        <w:t xml:space="preserve">To determine the Material Subsidiaries of the Company in accordance </w:t>
      </w:r>
      <w:r w:rsidR="00374E09">
        <w:rPr>
          <w:rFonts w:asciiTheme="majorHAnsi" w:hAnsiTheme="majorHAnsi"/>
        </w:rPr>
        <w:t>wi</w:t>
      </w:r>
      <w:r w:rsidRPr="00374E09">
        <w:rPr>
          <w:rFonts w:asciiTheme="majorHAnsi" w:hAnsiTheme="majorHAnsi"/>
        </w:rPr>
        <w:t xml:space="preserve">th the criteria laid down in Regulation 16(c) of SEBI (Listing Obligations and Disclosure Requirements) Regulations, 2015 (“Listing Regulations”). </w:t>
      </w:r>
    </w:p>
    <w:p w:rsidR="00621D4C" w:rsidRPr="00374E09" w:rsidRDefault="00621D4C" w:rsidP="00621D4C">
      <w:pPr>
        <w:pStyle w:val="ListParagraph"/>
        <w:ind w:left="1080"/>
        <w:jc w:val="both"/>
        <w:rPr>
          <w:rFonts w:asciiTheme="majorHAnsi" w:hAnsiTheme="majorHAnsi"/>
        </w:rPr>
      </w:pPr>
    </w:p>
    <w:p w:rsidR="00621D4C" w:rsidRPr="00374E09" w:rsidRDefault="00621D4C" w:rsidP="00621D4C">
      <w:pPr>
        <w:pStyle w:val="ListParagraph"/>
        <w:numPr>
          <w:ilvl w:val="0"/>
          <w:numId w:val="2"/>
        </w:numPr>
        <w:jc w:val="both"/>
        <w:rPr>
          <w:rFonts w:asciiTheme="majorHAnsi" w:hAnsiTheme="majorHAnsi"/>
          <w:b/>
        </w:rPr>
      </w:pPr>
      <w:r w:rsidRPr="00374E09">
        <w:rPr>
          <w:rFonts w:asciiTheme="majorHAnsi" w:hAnsiTheme="majorHAnsi"/>
          <w:b/>
        </w:rPr>
        <w:t xml:space="preserve"> Definitions </w:t>
      </w:r>
    </w:p>
    <w:p w:rsidR="00621D4C" w:rsidRPr="00374E09" w:rsidRDefault="00621D4C" w:rsidP="00621D4C">
      <w:pPr>
        <w:pStyle w:val="ListParagraph"/>
        <w:ind w:left="1080"/>
        <w:jc w:val="both"/>
        <w:rPr>
          <w:rFonts w:asciiTheme="majorHAnsi" w:hAnsiTheme="majorHAnsi"/>
        </w:rPr>
      </w:pPr>
    </w:p>
    <w:p w:rsidR="00621D4C" w:rsidRPr="00374E09" w:rsidRDefault="00621D4C" w:rsidP="00621D4C">
      <w:pPr>
        <w:pStyle w:val="ListParagraph"/>
        <w:ind w:left="1080"/>
        <w:jc w:val="both"/>
        <w:rPr>
          <w:rFonts w:asciiTheme="majorHAnsi" w:hAnsiTheme="majorHAnsi"/>
        </w:rPr>
      </w:pPr>
      <w:r w:rsidRPr="00374E09">
        <w:rPr>
          <w:rFonts w:asciiTheme="majorHAnsi" w:hAnsiTheme="majorHAnsi"/>
        </w:rPr>
        <w:t xml:space="preserve">“Material Non Listed Indian Subsidiary” shall mean a Material Subsidiary which is incorporated in India and is not listed on the Indian Stock Exchanges. </w:t>
      </w:r>
    </w:p>
    <w:p w:rsidR="00621D4C" w:rsidRPr="00374E09" w:rsidRDefault="00621D4C" w:rsidP="00621D4C">
      <w:pPr>
        <w:pStyle w:val="ListParagraph"/>
        <w:ind w:left="1080"/>
        <w:jc w:val="both"/>
        <w:rPr>
          <w:rFonts w:asciiTheme="majorHAnsi" w:hAnsiTheme="majorHAnsi"/>
        </w:rPr>
      </w:pPr>
    </w:p>
    <w:p w:rsidR="00621D4C" w:rsidRPr="00374E09" w:rsidRDefault="00621D4C" w:rsidP="00621D4C">
      <w:pPr>
        <w:pStyle w:val="ListParagraph"/>
        <w:ind w:left="1080"/>
        <w:jc w:val="both"/>
        <w:rPr>
          <w:rFonts w:asciiTheme="majorHAnsi" w:hAnsiTheme="majorHAnsi"/>
        </w:rPr>
      </w:pPr>
      <w:r w:rsidRPr="00374E09">
        <w:rPr>
          <w:rFonts w:asciiTheme="majorHAnsi" w:hAnsiTheme="majorHAnsi"/>
        </w:rPr>
        <w:t xml:space="preserve">“Significant Transaction or Arrangement” shall mean any individual transaction or arrangement that exceeds or is likely to exceed 10% of the total revenues or total expenses or total assets or total liabilities, as the case may be, of the material unlisted subsidiary for the immediately preceding accounting year. </w:t>
      </w:r>
    </w:p>
    <w:p w:rsidR="00621D4C" w:rsidRPr="00374E09" w:rsidRDefault="00621D4C" w:rsidP="00621D4C">
      <w:pPr>
        <w:pStyle w:val="ListParagraph"/>
        <w:ind w:left="1080"/>
        <w:jc w:val="both"/>
        <w:rPr>
          <w:rFonts w:asciiTheme="majorHAnsi" w:hAnsiTheme="majorHAnsi"/>
        </w:rPr>
      </w:pPr>
    </w:p>
    <w:p w:rsidR="00621D4C" w:rsidRPr="00374E09" w:rsidRDefault="00621D4C" w:rsidP="00621D4C">
      <w:pPr>
        <w:pStyle w:val="ListParagraph"/>
        <w:numPr>
          <w:ilvl w:val="0"/>
          <w:numId w:val="2"/>
        </w:numPr>
        <w:jc w:val="both"/>
        <w:rPr>
          <w:rFonts w:asciiTheme="majorHAnsi" w:hAnsiTheme="majorHAnsi"/>
          <w:b/>
        </w:rPr>
      </w:pPr>
      <w:r w:rsidRPr="00374E09">
        <w:rPr>
          <w:rFonts w:asciiTheme="majorHAnsi" w:hAnsiTheme="majorHAnsi"/>
          <w:b/>
        </w:rPr>
        <w:t xml:space="preserve"> Policy </w:t>
      </w:r>
    </w:p>
    <w:p w:rsidR="00621D4C" w:rsidRPr="00374E09" w:rsidRDefault="00621D4C" w:rsidP="00621D4C">
      <w:pPr>
        <w:pStyle w:val="ListParagraph"/>
        <w:ind w:left="1080"/>
        <w:jc w:val="both"/>
        <w:rPr>
          <w:rFonts w:asciiTheme="majorHAnsi" w:hAnsiTheme="majorHAnsi"/>
        </w:rPr>
      </w:pPr>
    </w:p>
    <w:p w:rsidR="00621D4C" w:rsidRPr="00374E09" w:rsidRDefault="00621D4C" w:rsidP="00621D4C">
      <w:pPr>
        <w:pStyle w:val="ListParagraph"/>
        <w:ind w:left="1080"/>
        <w:jc w:val="both"/>
        <w:rPr>
          <w:rFonts w:asciiTheme="majorHAnsi" w:hAnsiTheme="majorHAnsi"/>
        </w:rPr>
      </w:pPr>
      <w:r w:rsidRPr="00374E09">
        <w:rPr>
          <w:rFonts w:asciiTheme="majorHAnsi" w:hAnsiTheme="majorHAnsi"/>
        </w:rPr>
        <w:t xml:space="preserve">1. A subsidiary shall be a Material Subsidiary, whose income or net worth exceeds twenty percent of the consolidated income or net worth respectively, of the listed entity and its subsidiaries in the immediately preceding accounting year. </w:t>
      </w:r>
    </w:p>
    <w:p w:rsidR="00621D4C" w:rsidRPr="00374E09" w:rsidRDefault="00621D4C" w:rsidP="00621D4C">
      <w:pPr>
        <w:pStyle w:val="ListParagraph"/>
        <w:ind w:left="1080"/>
        <w:jc w:val="both"/>
        <w:rPr>
          <w:rFonts w:asciiTheme="majorHAnsi" w:hAnsiTheme="majorHAnsi"/>
        </w:rPr>
      </w:pPr>
    </w:p>
    <w:p w:rsidR="00621D4C" w:rsidRPr="00374E09" w:rsidRDefault="00621D4C" w:rsidP="00621D4C">
      <w:pPr>
        <w:pStyle w:val="ListParagraph"/>
        <w:ind w:left="1080"/>
        <w:jc w:val="both"/>
        <w:rPr>
          <w:rFonts w:asciiTheme="majorHAnsi" w:hAnsiTheme="majorHAnsi"/>
        </w:rPr>
      </w:pPr>
      <w:r w:rsidRPr="00374E09">
        <w:rPr>
          <w:rFonts w:asciiTheme="majorHAnsi" w:hAnsiTheme="majorHAnsi"/>
        </w:rPr>
        <w:t xml:space="preserve">2. One Independent Director of the Company shall be a director on the Board of the Material Non-Listed Indian Subsidiary Company. </w:t>
      </w:r>
    </w:p>
    <w:p w:rsidR="00621D4C" w:rsidRPr="00374E09" w:rsidRDefault="00621D4C" w:rsidP="00621D4C">
      <w:pPr>
        <w:pStyle w:val="ListParagraph"/>
        <w:ind w:left="1080"/>
        <w:jc w:val="both"/>
        <w:rPr>
          <w:rFonts w:asciiTheme="majorHAnsi" w:hAnsiTheme="majorHAnsi"/>
        </w:rPr>
      </w:pPr>
    </w:p>
    <w:p w:rsidR="00621D4C" w:rsidRPr="00374E09" w:rsidRDefault="00621D4C" w:rsidP="00621D4C">
      <w:pPr>
        <w:pStyle w:val="ListParagraph"/>
        <w:ind w:left="1080"/>
        <w:jc w:val="both"/>
        <w:rPr>
          <w:rFonts w:asciiTheme="majorHAnsi" w:hAnsiTheme="majorHAnsi"/>
        </w:rPr>
      </w:pPr>
      <w:r w:rsidRPr="00374E09">
        <w:rPr>
          <w:rFonts w:asciiTheme="majorHAnsi" w:hAnsiTheme="majorHAnsi"/>
        </w:rPr>
        <w:t xml:space="preserve">3. The Audit Committee of Board of the Company shall review the financial statements, in particular, the investments made by the Material Non Listed Subsidiary Company on an annual basis. </w:t>
      </w:r>
    </w:p>
    <w:p w:rsidR="00621D4C" w:rsidRPr="00374E09" w:rsidRDefault="00621D4C" w:rsidP="00621D4C">
      <w:pPr>
        <w:pStyle w:val="ListParagraph"/>
        <w:ind w:left="1080"/>
        <w:jc w:val="both"/>
        <w:rPr>
          <w:rFonts w:asciiTheme="majorHAnsi" w:hAnsiTheme="majorHAnsi"/>
        </w:rPr>
      </w:pPr>
    </w:p>
    <w:p w:rsidR="00621D4C" w:rsidRPr="00374E09" w:rsidRDefault="00621D4C" w:rsidP="00621D4C">
      <w:pPr>
        <w:pStyle w:val="ListParagraph"/>
        <w:ind w:left="1080"/>
        <w:jc w:val="both"/>
        <w:rPr>
          <w:rFonts w:asciiTheme="majorHAnsi" w:hAnsiTheme="majorHAnsi"/>
        </w:rPr>
      </w:pPr>
      <w:r w:rsidRPr="00374E09">
        <w:rPr>
          <w:rFonts w:asciiTheme="majorHAnsi" w:hAnsiTheme="majorHAnsi"/>
        </w:rPr>
        <w:t xml:space="preserve">4. The minutes of the Board Meetings of the Material Non Listed Subsidiary Companies shall be periodically placed before the Board of the Company. </w:t>
      </w:r>
    </w:p>
    <w:p w:rsidR="00621D4C" w:rsidRPr="00374E09" w:rsidRDefault="00621D4C" w:rsidP="00621D4C">
      <w:pPr>
        <w:pStyle w:val="ListParagraph"/>
        <w:ind w:left="1080"/>
        <w:jc w:val="both"/>
        <w:rPr>
          <w:rFonts w:asciiTheme="majorHAnsi" w:hAnsiTheme="majorHAnsi"/>
        </w:rPr>
      </w:pPr>
    </w:p>
    <w:p w:rsidR="00621D4C" w:rsidRPr="00374E09" w:rsidRDefault="00621D4C" w:rsidP="00621D4C">
      <w:pPr>
        <w:pStyle w:val="ListParagraph"/>
        <w:ind w:left="1080"/>
        <w:jc w:val="both"/>
        <w:rPr>
          <w:rFonts w:asciiTheme="majorHAnsi" w:hAnsiTheme="majorHAnsi"/>
        </w:rPr>
      </w:pPr>
      <w:r w:rsidRPr="00374E09">
        <w:rPr>
          <w:rFonts w:asciiTheme="majorHAnsi" w:hAnsiTheme="majorHAnsi"/>
        </w:rPr>
        <w:t xml:space="preserve">5. The management shall periodically bring to the attention of the Board of Directors of the Company, a statement of all Significant Transactions and Arrangements entered into by the Material Non Listed Subsidiary Company. </w:t>
      </w:r>
    </w:p>
    <w:p w:rsidR="00621D4C" w:rsidRPr="00374E09" w:rsidRDefault="00621D4C" w:rsidP="00621D4C">
      <w:pPr>
        <w:pStyle w:val="ListParagraph"/>
        <w:ind w:left="1080"/>
        <w:jc w:val="both"/>
        <w:rPr>
          <w:rFonts w:asciiTheme="majorHAnsi" w:hAnsiTheme="majorHAnsi"/>
        </w:rPr>
      </w:pPr>
    </w:p>
    <w:p w:rsidR="00621D4C" w:rsidRPr="00374E09" w:rsidRDefault="00621D4C" w:rsidP="00621D4C">
      <w:pPr>
        <w:pStyle w:val="ListParagraph"/>
        <w:ind w:left="1080"/>
        <w:jc w:val="both"/>
        <w:rPr>
          <w:rFonts w:asciiTheme="majorHAnsi" w:hAnsiTheme="majorHAnsi"/>
        </w:rPr>
      </w:pPr>
    </w:p>
    <w:p w:rsidR="00621D4C" w:rsidRDefault="00621D4C" w:rsidP="00621D4C">
      <w:pPr>
        <w:pStyle w:val="ListParagraph"/>
        <w:ind w:left="1080"/>
        <w:jc w:val="both"/>
        <w:rPr>
          <w:rFonts w:asciiTheme="majorHAnsi" w:hAnsiTheme="majorHAnsi"/>
        </w:rPr>
      </w:pPr>
    </w:p>
    <w:p w:rsidR="00133DFB" w:rsidRDefault="00133DFB" w:rsidP="00621D4C">
      <w:pPr>
        <w:pStyle w:val="ListParagraph"/>
        <w:ind w:left="1080"/>
        <w:jc w:val="both"/>
        <w:rPr>
          <w:rFonts w:asciiTheme="majorHAnsi" w:hAnsiTheme="majorHAnsi"/>
        </w:rPr>
      </w:pPr>
    </w:p>
    <w:p w:rsidR="00133DFB" w:rsidRPr="00374E09" w:rsidRDefault="00133DFB" w:rsidP="00621D4C">
      <w:pPr>
        <w:pStyle w:val="ListParagraph"/>
        <w:ind w:left="1080"/>
        <w:jc w:val="both"/>
        <w:rPr>
          <w:rFonts w:asciiTheme="majorHAnsi" w:hAnsiTheme="majorHAnsi"/>
        </w:rPr>
      </w:pPr>
      <w:bookmarkStart w:id="0" w:name="_GoBack"/>
      <w:bookmarkEnd w:id="0"/>
    </w:p>
    <w:p w:rsidR="00621D4C" w:rsidRPr="00374E09" w:rsidRDefault="00621D4C" w:rsidP="00621D4C">
      <w:pPr>
        <w:pStyle w:val="ListParagraph"/>
        <w:ind w:left="1080"/>
        <w:jc w:val="both"/>
        <w:rPr>
          <w:rFonts w:asciiTheme="majorHAnsi" w:hAnsiTheme="majorHAnsi"/>
        </w:rPr>
      </w:pPr>
    </w:p>
    <w:p w:rsidR="00621D4C" w:rsidRPr="00374E09" w:rsidRDefault="00621D4C" w:rsidP="00621D4C">
      <w:pPr>
        <w:pStyle w:val="ListParagraph"/>
        <w:numPr>
          <w:ilvl w:val="0"/>
          <w:numId w:val="2"/>
        </w:numPr>
        <w:jc w:val="both"/>
        <w:rPr>
          <w:rFonts w:asciiTheme="majorHAnsi" w:hAnsiTheme="majorHAnsi"/>
          <w:b/>
        </w:rPr>
      </w:pPr>
      <w:r w:rsidRPr="00374E09">
        <w:rPr>
          <w:rFonts w:asciiTheme="majorHAnsi" w:hAnsiTheme="majorHAnsi"/>
          <w:b/>
        </w:rPr>
        <w:lastRenderedPageBreak/>
        <w:t xml:space="preserve"> Disposal of Material Subsidiary </w:t>
      </w:r>
    </w:p>
    <w:p w:rsidR="00621D4C" w:rsidRPr="00374E09" w:rsidRDefault="00621D4C" w:rsidP="00621D4C">
      <w:pPr>
        <w:pStyle w:val="ListParagraph"/>
        <w:ind w:left="1080"/>
        <w:jc w:val="both"/>
        <w:rPr>
          <w:rFonts w:asciiTheme="majorHAnsi" w:hAnsiTheme="majorHAnsi"/>
          <w:b/>
        </w:rPr>
      </w:pPr>
    </w:p>
    <w:p w:rsidR="00621D4C" w:rsidRPr="00374E09" w:rsidRDefault="00621D4C" w:rsidP="00621D4C">
      <w:pPr>
        <w:pStyle w:val="ListParagraph"/>
        <w:ind w:left="1080"/>
        <w:jc w:val="both"/>
        <w:rPr>
          <w:rFonts w:asciiTheme="majorHAnsi" w:hAnsiTheme="majorHAnsi"/>
        </w:rPr>
      </w:pPr>
      <w:r w:rsidRPr="00374E09">
        <w:rPr>
          <w:rFonts w:asciiTheme="majorHAnsi" w:hAnsiTheme="majorHAnsi"/>
        </w:rPr>
        <w:t xml:space="preserve">Selling, disposing and leasing of assets amounting to more than twenty percent of the assets of the material subsidiary on an aggregate basis during a financial year shall require prior approval of shareholders by way of special resolution, unless the sale/disposal/lease is made under a scheme of arrangement duly approved by a Court/Tribunal. </w:t>
      </w:r>
    </w:p>
    <w:p w:rsidR="00B0209E" w:rsidRPr="00374E09" w:rsidRDefault="00B0209E" w:rsidP="00621D4C">
      <w:pPr>
        <w:pStyle w:val="ListParagraph"/>
        <w:ind w:left="1080"/>
        <w:jc w:val="both"/>
        <w:rPr>
          <w:rFonts w:asciiTheme="majorHAnsi" w:hAnsiTheme="majorHAnsi"/>
        </w:rPr>
      </w:pPr>
    </w:p>
    <w:p w:rsidR="00B0209E" w:rsidRPr="00374E09" w:rsidRDefault="00621D4C" w:rsidP="00621D4C">
      <w:pPr>
        <w:pStyle w:val="ListParagraph"/>
        <w:numPr>
          <w:ilvl w:val="0"/>
          <w:numId w:val="2"/>
        </w:numPr>
        <w:jc w:val="both"/>
        <w:rPr>
          <w:rFonts w:asciiTheme="majorHAnsi" w:hAnsiTheme="majorHAnsi"/>
          <w:b/>
        </w:rPr>
      </w:pPr>
      <w:r w:rsidRPr="00374E09">
        <w:rPr>
          <w:rFonts w:asciiTheme="majorHAnsi" w:hAnsiTheme="majorHAnsi"/>
          <w:b/>
        </w:rPr>
        <w:t>Disclosures</w:t>
      </w:r>
    </w:p>
    <w:p w:rsidR="00B0209E" w:rsidRPr="00374E09" w:rsidRDefault="00621D4C" w:rsidP="00B0209E">
      <w:pPr>
        <w:pStyle w:val="ListParagraph"/>
        <w:ind w:left="1080"/>
        <w:jc w:val="both"/>
        <w:rPr>
          <w:rFonts w:asciiTheme="majorHAnsi" w:hAnsiTheme="majorHAnsi"/>
        </w:rPr>
      </w:pPr>
      <w:r w:rsidRPr="00374E09">
        <w:rPr>
          <w:rFonts w:asciiTheme="majorHAnsi" w:hAnsiTheme="majorHAnsi"/>
        </w:rPr>
        <w:t xml:space="preserve"> </w:t>
      </w:r>
    </w:p>
    <w:p w:rsidR="00621D4C" w:rsidRPr="00374E09" w:rsidRDefault="00621D4C" w:rsidP="00B0209E">
      <w:pPr>
        <w:pStyle w:val="ListParagraph"/>
        <w:ind w:left="1080"/>
        <w:jc w:val="both"/>
        <w:rPr>
          <w:rFonts w:asciiTheme="majorHAnsi" w:hAnsiTheme="majorHAnsi"/>
        </w:rPr>
      </w:pPr>
      <w:r w:rsidRPr="00374E09">
        <w:rPr>
          <w:rFonts w:asciiTheme="majorHAnsi" w:hAnsiTheme="majorHAnsi"/>
        </w:rPr>
        <w:t>The Policy for determining material subsidiaries will be posted on the Company’s website and a web link thereto will be provided in the Annual Report.</w:t>
      </w:r>
    </w:p>
    <w:p w:rsidR="00B0209E" w:rsidRPr="00374E09" w:rsidRDefault="00B0209E" w:rsidP="00B0209E">
      <w:pPr>
        <w:pStyle w:val="ListParagraph"/>
        <w:ind w:left="1080"/>
        <w:jc w:val="both"/>
        <w:rPr>
          <w:rFonts w:asciiTheme="majorHAnsi" w:hAnsiTheme="majorHAnsi"/>
        </w:rPr>
      </w:pPr>
    </w:p>
    <w:p w:rsidR="00B0209E" w:rsidRPr="00374E09" w:rsidRDefault="00621D4C" w:rsidP="00621D4C">
      <w:pPr>
        <w:pStyle w:val="ListParagraph"/>
        <w:numPr>
          <w:ilvl w:val="0"/>
          <w:numId w:val="2"/>
        </w:numPr>
        <w:jc w:val="both"/>
        <w:rPr>
          <w:rFonts w:asciiTheme="majorHAnsi" w:hAnsiTheme="majorHAnsi"/>
          <w:b/>
        </w:rPr>
      </w:pPr>
      <w:r w:rsidRPr="00374E09">
        <w:rPr>
          <w:rFonts w:asciiTheme="majorHAnsi" w:hAnsiTheme="majorHAnsi"/>
          <w:b/>
        </w:rPr>
        <w:t xml:space="preserve">Amendments to the Policy </w:t>
      </w:r>
    </w:p>
    <w:p w:rsidR="00B0209E" w:rsidRPr="00374E09" w:rsidRDefault="00B0209E" w:rsidP="00B0209E">
      <w:pPr>
        <w:pStyle w:val="ListParagraph"/>
        <w:ind w:left="1080"/>
        <w:jc w:val="both"/>
        <w:rPr>
          <w:rFonts w:asciiTheme="majorHAnsi" w:hAnsiTheme="majorHAnsi"/>
          <w:b/>
        </w:rPr>
      </w:pPr>
    </w:p>
    <w:p w:rsidR="00DA6CC0" w:rsidRPr="00374E09" w:rsidRDefault="00621D4C" w:rsidP="00B0209E">
      <w:pPr>
        <w:pStyle w:val="ListParagraph"/>
        <w:ind w:left="1080"/>
        <w:jc w:val="both"/>
        <w:rPr>
          <w:rFonts w:asciiTheme="majorHAnsi" w:hAnsiTheme="majorHAnsi"/>
        </w:rPr>
      </w:pPr>
      <w:r w:rsidRPr="00374E09">
        <w:rPr>
          <w:rFonts w:asciiTheme="majorHAnsi" w:hAnsiTheme="majorHAnsi"/>
        </w:rPr>
        <w:t>The Board of Directors on its own and / or as per the recommendations of Audit Committee may amend this Policy, as and when deemed fit. Any or all provisions of this Policy would be subject to revision / amendment in accordance with the Rules, Regulations, Notifications etc. on the subject as may be issued by relevant statutory authorities , from time to time</w:t>
      </w:r>
    </w:p>
    <w:sectPr w:rsidR="00DA6CC0" w:rsidRPr="00374E09" w:rsidSect="00DA6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44289"/>
    <w:multiLevelType w:val="hybridMultilevel"/>
    <w:tmpl w:val="681E9C82"/>
    <w:lvl w:ilvl="0" w:tplc="3162F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DD1C5D"/>
    <w:multiLevelType w:val="hybridMultilevel"/>
    <w:tmpl w:val="25407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621D4C"/>
    <w:rsid w:val="000A11B6"/>
    <w:rsid w:val="00133DFB"/>
    <w:rsid w:val="0024661F"/>
    <w:rsid w:val="00374E09"/>
    <w:rsid w:val="00621D4C"/>
    <w:rsid w:val="00B0209E"/>
    <w:rsid w:val="00DA6CC0"/>
    <w:rsid w:val="00E13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D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579677">
      <w:bodyDiv w:val="1"/>
      <w:marLeft w:val="0"/>
      <w:marRight w:val="0"/>
      <w:marTop w:val="0"/>
      <w:marBottom w:val="0"/>
      <w:divBdr>
        <w:top w:val="none" w:sz="0" w:space="0" w:color="auto"/>
        <w:left w:val="none" w:sz="0" w:space="0" w:color="auto"/>
        <w:bottom w:val="none" w:sz="0" w:space="0" w:color="auto"/>
        <w:right w:val="none" w:sz="0" w:space="0" w:color="auto"/>
      </w:divBdr>
    </w:div>
    <w:div w:id="142195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ZEBRONICS</cp:lastModifiedBy>
  <cp:revision>5</cp:revision>
  <dcterms:created xsi:type="dcterms:W3CDTF">2020-05-14T07:03:00Z</dcterms:created>
  <dcterms:modified xsi:type="dcterms:W3CDTF">2021-01-20T11:50:00Z</dcterms:modified>
</cp:coreProperties>
</file>